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976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关于请求对涟源市湖泉镇石门新村新车桥开展抢救性维修的建议</w:t>
      </w:r>
    </w:p>
    <w:p w14:paraId="21175D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0" w:right="0" w:firstLine="0"/>
        <w:jc w:val="left"/>
        <w:textAlignment w:val="auto"/>
        <w:rPr>
          <w:rFonts w:hint="eastAsia"/>
          <w:bCs/>
          <w:sz w:val="36"/>
          <w:szCs w:val="36"/>
        </w:rPr>
      </w:pPr>
    </w:p>
    <w:p w14:paraId="4740DB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新车桥是具有特色的风雨桥，始建年代不详，重修于咸丰年1856年，全长35米，宽5.6米，柱式木结构，石墩，木梁，木板路面，上覆亭廊，重檐，小青瓦，1991年两村村民自筹资金进行大修一次，2005年洪灾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致使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北向边桥墩被洪水冲垮，危及主体，2014年在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时任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长沙市委常委易炼红以及两村的全体村民和社会各界人士的关心下，对桥的两岸边缘进行了加固维修，共计30余万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2017年7月1号特大洪灾，新车桥再一次被洪水重创造成主体木梁多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断裂，桥面倾斜，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此外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新车桥运行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有160多年的历史，由于年久失修，风吹雨淋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主梁大部分都被蛀虫腐蚀，溃烂，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不及时维修随时都有倒塌的可能，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给来往的群众带来极大的安全隐患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17EC26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案由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：涟源市湖泉镇石门新村新车桥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距离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涟源市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公里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该桥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横跨温江河流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石门新村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石马山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长车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社区的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连接桥，该桥受益2千多人近距离出行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作为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地方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重要交通节点和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民俗文化遗产，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长车桥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因年久失修及自然灾害频发，现存在严重安全隐患，亟需开展抢救性维修。2017年特大洪灾导致主梁断裂、桥面倾斜，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多处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现存木构件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蛀蚀，已危及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周边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2000余群众日常通行。</w:t>
      </w:r>
    </w:p>
    <w:p w14:paraId="572579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案据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一、文物保护价值显著。该桥作为清代木构建筑典范，其重檐亭廊构造、榫卯工艺具有重要学术价值。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二、安全隐患迫在眉睫。经检测，主梁承重能力已下降，桥墩基础存在局部沉降，在汛期存在整体垮塌风险。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三、民生需求刻不容缓。该桥日均通行量达500人次，替代绕行路线需增加12公里路程。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四、政策支持依据充分。符合《湖南省文物保护条例》相关规定。</w:t>
      </w:r>
    </w:p>
    <w:p w14:paraId="5B61B5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建议：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一、划拨专项保护资金，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聘请专业技术团队，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修旧如旧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原则实施抢救性维修。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、建立长效维护机制，建议将日常养护经费（年均15万元）纳入市级财政预算，配置专职文保员进行日常监测。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、实施文旅融合工程，打造湘中古桥文化研学基地。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</w:t>
      </w:r>
    </w:p>
    <w:p w14:paraId="71D724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该桥的保护修缮既是守护文化遗产的必然要求，更是保障民生安全的当务之急。恳请相关部门高度重视，共同守护这份承载着百年乡愁的文化瑰宝。</w:t>
      </w:r>
    </w:p>
    <w:p w14:paraId="5D93F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2" name="图片 2" descr="7d345062adb76f91833d11883be0a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345062adb76f91833d11883be0a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3669caec6566181a601ebb5bdd1e3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669caec6566181a601ebb5bdd1e3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8" name="图片 8" descr="b2a6d530fc33caffa229e4708f2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2a6d530fc33caffa229e4708f224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9" name="图片 9" descr="b2622f2ece68601f33c274ed0e946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2622f2ece68601f33c274ed0e9465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256AD"/>
    <w:rsid w:val="2CA248FA"/>
    <w:rsid w:val="2CCA2E9C"/>
    <w:rsid w:val="391B4A7F"/>
    <w:rsid w:val="45CD7738"/>
    <w:rsid w:val="59F70DCD"/>
    <w:rsid w:val="5DAA0F2B"/>
    <w:rsid w:val="62C90F25"/>
    <w:rsid w:val="6AA65E5D"/>
    <w:rsid w:val="6E5A285A"/>
    <w:rsid w:val="78F47F26"/>
    <w:rsid w:val="7E00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864</Words>
  <Characters>895</Characters>
  <Lines>0</Lines>
  <Paragraphs>0</Paragraphs>
  <TotalTime>6</TotalTime>
  <ScaleCrop>false</ScaleCrop>
  <LinksUpToDate>false</LinksUpToDate>
  <CharactersWithSpaces>910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2025-03-24T00:33:00Z</dcterms:created>
  <dc:creator>Lenovo</dc:creator>
  <cp:lastModifiedBy>李家老满</cp:lastModifiedBy>
  <dcterms:modified xsi:type="dcterms:W3CDTF">2025-03-24T07:20:51Z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eyJoZGlkIjoiZjI1Mjk5ZjM4ZmM3MGM4NmNkYzQ4YjJlMmMyYjcyOTQiLCJ1c2VySWQiOiIyMjc3NjI0NTUifQ==</vt:lpwstr>
  </property>
  <property fmtid="{D5CDD505-2E9C-101B-9397-08002B2CF9AE}" pid="4" name="ICV">
    <vt:lpwstr>E3C5FDBAED26441DBA1B80AADA44F202_12</vt:lpwstr>
  </property>
</Properties>
</file>