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spacing w:afterAutospacing="0" w:beforeAutospacing="0" w:line="560" w:lineRule="exact"/>
        <w:rPr>
          <w:b w:val="0"/>
          <w:i w:val="0"/>
          <w:spacing w:val="0"/>
          <w:sz w:val="44"/>
          <w:lang w:eastAsia="zh-CN"/>
          <w:shd w:val="clear" w:color="auto" w:fill="FFFFFF"/>
          <w:rFonts w:ascii="方正小标宋简体" w:hAnsi="方正小标宋简体" w:eastAsia="方正小标宋简体" w:cs="方正小标宋简体" w:hint="eastAsia"/>
        </w:rPr>
      </w:pPr>
      <w:r>
        <w:rPr>
          <w:b w:val="0"/>
          <w:i w:val="0"/>
          <w:spacing w:val="0"/>
          <w:sz w:val="44"/>
          <w:lang w:val="en-US" w:eastAsia="zh-CN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关于发展</w:t>
      </w:r>
      <w:r>
        <w:rPr>
          <w:b w:val="0"/>
          <w:i w:val="0"/>
          <w:spacing w:val="0"/>
          <w:sz w:val="44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智慧旅游</w:t>
      </w:r>
      <w:r>
        <w:rPr>
          <w:b w:val="0"/>
          <w:i w:val="0"/>
          <w:spacing w:val="0"/>
          <w:sz w:val="44"/>
          <w:lang w:eastAsia="zh-CN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、</w:t>
      </w:r>
      <w:r>
        <w:rPr>
          <w:b w:val="0"/>
          <w:i w:val="0"/>
          <w:spacing w:val="0"/>
          <w:sz w:val="44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开启</w:t>
      </w:r>
      <w:r>
        <w:rPr>
          <w:b w:val="0"/>
          <w:i w:val="0"/>
          <w:spacing w:val="0"/>
          <w:sz w:val="44"/>
          <w:lang w:val="en-US" w:eastAsia="zh-CN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我市</w:t>
      </w:r>
      <w:r>
        <w:rPr>
          <w:b w:val="0"/>
          <w:i w:val="0"/>
          <w:spacing w:val="0"/>
          <w:sz w:val="44"/>
          <w:lang w:eastAsia="zh-CN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文旅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afterAutospacing="0" w:beforeAutospacing="0" w:line="560" w:lineRule="exact"/>
        <w:rPr>
          <w:b w:val="0"/>
          <w:i w:val="0"/>
          <w:spacing w:val="0"/>
          <w:sz w:val="44"/>
          <w:lang w:eastAsia="zh-CN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</w:pPr>
      <w:r>
        <w:rPr>
          <w:b w:val="0"/>
          <w:i w:val="0"/>
          <w:spacing w:val="0"/>
          <w:sz w:val="44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创新之路</w:t>
      </w:r>
      <w:r>
        <w:rPr>
          <w:b w:val="0"/>
          <w:i w:val="0"/>
          <w:spacing w:val="0"/>
          <w:sz w:val="44"/>
          <w:lang w:val="en-US" w:eastAsia="zh-CN"/>
          <w:bCs w:val="0"/>
          <w:iCs w:val="0"/>
          <w:szCs w:val="44"/>
          <w:shd w:val="clear" w:color="auto" w:fill="FFFFFF"/>
          <w:rFonts w:ascii="方正小标宋简体" w:hAnsi="方正小标宋简体" w:eastAsia="方正小标宋简体" w:cs="方正小标宋简体" w:hint="eastAsia"/>
        </w:rPr>
        <w:t>的建议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afterAutospacing="0" w:beforeAutospacing="0" w:line="560" w:lineRule="exact"/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楷体_GB2312" w:hAnsi="楷体_GB2312" w:eastAsia="楷体_GB2312" w:cs="楷体_GB2312" w:hint="default"/>
        </w:rPr>
      </w:pP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黄涛</w:t>
      </w:r>
      <w:r>
        <w:rPr>
          <w:b w:val="0"/>
          <w:i w:val="0"/>
          <w:spacing w:val="0"/>
          <w:sz w:val="32"/>
          <w:lang w:eastAsia="zh-Hans"/>
          <w:bCs w:val="0"/>
          <w:iCs w:val="0"/>
          <w:szCs w:val="32"/>
          <w:shd w:val="clear" w:color="auto" w:fill="FFFFFF"/>
          <w:rFonts w:ascii="楷体_GB2312" w:hAnsi="楷体_GB2312" w:eastAsia="楷体_GB2312" w:cs="楷体_GB2312" w:hint="default"/>
        </w:rPr>
        <w:t xml:space="preserve"> </w:t>
      </w: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颜晓枚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afterAutospacing="0" w:beforeAutospacing="0" w:line="240" w:lineRule="auto"/>
        <w:rPr>
          <w:b w:val="0"/>
          <w:color w:val="000000"/>
          <w:sz w:val="32"/>
          <w:bCs w:val="0"/>
          <w:szCs w:val="32"/>
          <w:rFonts w:ascii="黑体" w:hAnsi="黑体" w:eastAsia="黑体" w:cs="黑体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240" w:lineRule="auto"/>
        <w:ind w:firstLine="641" w:firstLineChars="200"/>
        <w:rPr>
          <w:b w:val="0"/>
          <w:i w:val="0"/>
          <w:spacing w:val="0"/>
          <w:sz w:val="32"/>
          <w:lang w:eastAsia="zh-CN"/>
          <w:bCs w:val="0"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</w:pPr>
      <w:r>
        <w:rPr>
          <w:b w:val="1"/>
          <w:i w:val="0"/>
          <w:spacing w:val="0"/>
          <w:sz w:val="32"/>
          <w:lang w:val="en-US" w:eastAsia="zh-Hans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内容摘要</w:t>
      </w:r>
      <w:r>
        <w:rPr>
          <w:b w:val="1"/>
          <w:i w:val="0"/>
          <w:spacing w:val="0"/>
          <w:sz w:val="32"/>
          <w:lang w:eastAsia="zh-Hans"/>
          <w:bCs/>
          <w:iCs w:val="0"/>
          <w:szCs w:val="32"/>
          <w:shd w:val="clear" w:color="auto" w:fill="FFFFFF"/>
          <w:rFonts w:ascii="楷体_GB2312" w:hAnsi="楷体_GB2312" w:eastAsia="楷体_GB2312" w:cs="楷体_GB2312" w:hint="default"/>
        </w:rPr>
        <w:t>：</w:t>
      </w:r>
      <w:r>
        <w:rPr>
          <w:color w:val="000000"/>
          <w:sz w:val="32"/>
          <w:szCs w:val="32"/>
          <w:rFonts w:ascii="楷体_GB2312" w:hAnsi="楷体_GB2312" w:eastAsia="楷体_GB2312" w:cs="楷体_GB2312" w:hint="eastAsia"/>
        </w:rPr>
        <w:t>涟源市有着丰富的人文历史、山水风景等旅游资源，湄江“三湘独秀”集山水洞崖于一体、白马湖浩渺烟波、湄峰湖湿地公园鸟语花香、龙山逶迤磅礴</w:t>
      </w:r>
      <w:r>
        <w:rPr>
          <w:color w:val="000000"/>
          <w:sz w:val="32"/>
          <w:lang w:eastAsia="zh-CN"/>
          <w:szCs w:val="32"/>
          <w:rFonts w:ascii="楷体_GB2312" w:hAnsi="楷体_GB2312" w:eastAsia="楷体_GB2312" w:cs="楷体_GB2312" w:hint="eastAsia"/>
        </w:rPr>
        <w:t>；同时</w:t>
      </w:r>
      <w:r>
        <w:rPr>
          <w:color w:val="000000"/>
          <w:sz w:val="32"/>
          <w:szCs w:val="32"/>
          <w:rFonts w:ascii="楷体_GB2312" w:hAnsi="楷体_GB2312" w:eastAsia="楷体_GB2312" w:cs="楷体_GB2312" w:hint="eastAsia"/>
        </w:rPr>
        <w:t>积极开发利用农业文化遗存、历史古村、山水风景等历史文化资源，全方位打造集吃、住、行、游、娱，山、水、田、园、人文历史、民俗风情、探险寻幽、耕作放养等于一体的历史人文与乡村旅游模式，涌现出了湄江风景区、三甲古村落群、龙山森林公园等人文乡村旅游“新贵”</w:t>
      </w:r>
      <w:r>
        <w:rPr>
          <w:color w:val="000000"/>
          <w:sz w:val="32"/>
          <w:lang w:eastAsia="zh-CN"/>
          <w:szCs w:val="32"/>
          <w:rFonts w:ascii="楷体_GB2312" w:hAnsi="楷体_GB2312" w:eastAsia="楷体_GB2312" w:cs="楷体_GB2312" w:hint="eastAsia"/>
        </w:rPr>
        <w:t>。基于这些良好的基础条件，我们认为可以</w:t>
      </w:r>
      <w:r>
        <w:rPr>
          <w:color w:val="000000"/>
          <w:sz w:val="32"/>
          <w:lang w:val="en-US" w:eastAsia="zh-CN"/>
          <w:szCs w:val="32"/>
          <w:rFonts w:ascii="楷体_GB2312" w:hAnsi="楷体_GB2312" w:eastAsia="楷体_GB2312" w:cs="楷体_GB2312" w:hint="eastAsia"/>
        </w:rPr>
        <w:t>大力发展智慧旅游</w:t>
      </w:r>
      <w:r>
        <w:rPr>
          <w:color w:val="000000"/>
          <w:sz w:val="32"/>
          <w:lang w:eastAsia="zh-CN"/>
          <w:szCs w:val="32"/>
          <w:rFonts w:ascii="楷体_GB2312" w:hAnsi="楷体_GB2312" w:eastAsia="楷体_GB2312" w:cs="楷体_GB2312" w:hint="eastAsia"/>
        </w:rPr>
        <w:t>，推进创新旅游发展。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color w:val="000000"/>
          <w:sz w:val="32"/>
          <w:lang w:val="en-US" w:eastAsia="zh-CN"/>
          <w:szCs w:val="32"/>
          <w:rFonts w:ascii="黑体" w:hAnsi="黑体" w:eastAsia="黑体" w:cs="黑体" w:hint="eastAsia"/>
        </w:rPr>
        <w:t>一、我市旅游资源优势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近年来，涟源</w:t>
      </w:r>
      <w:r>
        <w:rPr>
          <w:color w:val="000000"/>
          <w:sz w:val="32"/>
          <w:lang w:val="en-US" w:eastAsia="zh-Hans"/>
          <w:szCs w:val="32"/>
          <w:rFonts w:ascii="仿宋_GB2312" w:hAnsi="仿宋_GB2312" w:eastAsia="仿宋_GB2312" w:cs="仿宋_GB2312" w:hint="eastAsia"/>
        </w:rPr>
        <w:t>市</w:t>
      </w:r>
      <w:r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依托良好的生态环境、厚重的文化特色、丰富的旅游资源，以建设“区域性休闲旅游康养基地”为目标定位、全域旅游示范区创建为契机，着力夯实基础、创新业态、强化保障、激发潜能，促进旅游产业高质量发展。全市成功创建国家4A级旅游景区1家，3A级旅游景区4家，四星级以上乡村旅游（区）点7家，“国字号”旅游资源品牌6处，省特色旅游名镇3个，省乡村旅游重点村2个。2021年全市接待游客501.16万人次，实现旅游综合收入51亿元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240" w:lineRule="auto"/>
        <w:ind w:firstLine="640" w:firstLineChars="200"/>
        <w:rPr>
          <w:b w:val="0"/>
          <w:i w:val="0"/>
          <w:spacing w:val="0"/>
          <w:sz w:val="32"/>
          <w:lang w:val="en-US"/>
          <w:bCs w:val="0"/>
          <w:iCs w:val="0"/>
          <w:szCs w:val="32"/>
          <w:shd w:val="clear" w:color="auto" w:fill="FFFFFF"/>
          <w:rFonts w:ascii="黑体" w:hAnsi="黑体" w:eastAsia="黑体" w:cs="黑体" w:hint="default"/>
        </w:rPr>
      </w:pP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黑体" w:hAnsi="黑体" w:eastAsia="黑体" w:cs="黑体" w:hint="eastAsia"/>
        </w:rPr>
        <w:t>二、发展</w:t>
      </w:r>
      <w:r>
        <w:rPr>
          <w:b w:val="0"/>
          <w:i w:val="0"/>
          <w:spacing w:val="0"/>
          <w:sz w:val="32"/>
          <w:bCs w:val="0"/>
          <w:iCs w:val="0"/>
          <w:szCs w:val="32"/>
          <w:shd w:val="clear" w:color="auto" w:fill="FFFFFF"/>
          <w:rFonts w:ascii="黑体" w:hAnsi="黑体" w:eastAsia="黑体" w:cs="黑体" w:hint="eastAsia"/>
        </w:rPr>
        <w:t>智慧旅游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黑体" w:hAnsi="黑体" w:eastAsia="黑体" w:cs="黑体" w:hint="eastAsia"/>
        </w:rPr>
        <w:t>的可行性分析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1" w:firstLineChars="200"/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</w:pPr>
      <w:r>
        <w:rPr>
          <w:b w:val="1"/>
          <w:i w:val="0"/>
          <w:spacing w:val="0"/>
          <w:sz w:val="32"/>
          <w:lang w:val="en-US" w:eastAsia="zh-CN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1、</w:t>
      </w:r>
      <w:r>
        <w:rPr>
          <w:b w:val="1"/>
          <w:i w:val="0"/>
          <w:spacing w:val="0"/>
          <w:sz w:val="32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旅游+智慧管理，实现高效经营：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旅游+智慧管理将实现传统旅游管理方式向现代管理方式转变。大数据</w:t>
      </w:r>
      <w:r>
        <w:rPr>
          <w:i w:val="0"/>
          <w:spacing w:val="0"/>
          <w:sz w:val="32"/>
          <w:lang w:val="en-US" w:eastAsia="zh-Hans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管理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主要包括：文旅数据可视化系统、旅游数据分析系统、旅游舆情监测系统、景区资质评定系统等四大服务系统，融合区域内旅游各业态商户和企业，可为景区综合管理、目的地旅游产业监管，提供数据支持和决策依据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，</w:t>
      </w:r>
      <w:r>
        <w:rPr>
          <w:i w:val="0"/>
          <w:spacing w:val="0"/>
          <w:sz w:val="32"/>
          <w:lang w:val="en-US" w:eastAsia="zh-Hans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以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提升景区管理效率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1" w:firstLineChars="200"/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</w:pPr>
      <w:r>
        <w:rPr>
          <w:b w:val="1"/>
          <w:i w:val="0"/>
          <w:spacing w:val="0"/>
          <w:sz w:val="32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2、旅游+智慧服务，创新消费方式：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旅游+智慧服务主要以游客为本，通过信息技术提升旅游体验和旅游品质。产品体系主要包括智慧导览系统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、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游客服务系统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、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云直播系统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、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虚拟旅游系统等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，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全面提升旅游行业的管理服务能力</w:t>
      </w:r>
      <w:r>
        <w:rPr>
          <w:b w:val="0"/>
          <w:i w:val="0"/>
          <w:spacing w:val="0"/>
          <w:sz w:val="32"/>
          <w:lang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1" w:firstLineChars="200"/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黑体" w:hAnsi="黑体" w:eastAsia="黑体" w:cs="黑体" w:hint="eastAsia"/>
        </w:rPr>
      </w:pPr>
      <w:r>
        <w:rPr>
          <w:b w:val="1"/>
          <w:i w:val="0"/>
          <w:spacing w:val="0"/>
          <w:sz w:val="32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3、旅游+智慧营销，促进流量变现：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通过旅游舆情监控和数据分析，挖掘热点和游客兴趣点，</w:t>
      </w:r>
      <w:r>
        <w:rPr>
          <w:i w:val="0"/>
          <w:spacing w:val="0"/>
          <w:sz w:val="32"/>
          <w:lang w:val="en-US" w:eastAsia="zh-Hans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制定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对应的旅游产品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、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营销主题，推动产品创新和营销创新；利用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微博、抖音等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新媒体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，在</w:t>
      </w:r>
      <w:r>
        <w:rPr>
          <w:i w:val="0"/>
          <w:spacing w:val="0"/>
          <w:sz w:val="32"/>
          <w:lang w:val="en-US" w:eastAsia="zh-Hans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节假日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推出特色活动和优惠折扣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，</w:t>
      </w:r>
      <w:r>
        <w:rPr>
          <w:i w:val="0"/>
          <w:spacing w:val="0"/>
          <w:sz w:val="32"/>
          <w:lang w:val="en-US" w:eastAsia="zh-Hans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通过朋友圈集赞等方式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吸引游客主动</w:t>
      </w:r>
      <w:bookmarkStart w:id="0" w:name="_GoBack"/>
      <w:bookmarkEnd w:id="0"/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参与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宣传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，并通过积累游客数据和产品消费数据，逐步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扩大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营销</w:t>
      </w:r>
      <w:r>
        <w:rPr>
          <w:i w:val="0"/>
          <w:spacing w:val="0"/>
          <w:sz w:val="32"/>
          <w:lang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效应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0" w:firstLineChars="200"/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黑体" w:hAnsi="黑体" w:eastAsia="黑体" w:cs="黑体" w:hint="eastAsia"/>
        </w:rPr>
      </w:pP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黑体" w:hAnsi="黑体" w:eastAsia="黑体" w:cs="黑体" w:hint="eastAsia"/>
        </w:rPr>
        <w:t>三、建议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1"/>
        </w:numPr>
        <w:spacing w:afterAutospacing="0" w:beforeAutospacing="0" w:line="240" w:lineRule="auto"/>
        <w:ind w:firstLine="641" w:firstLineChars="200"/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</w:pPr>
      <w:r>
        <w:rPr>
          <w:b w:val="1"/>
          <w:i w:val="0"/>
          <w:spacing w:val="0"/>
          <w:sz w:val="32"/>
          <w:lang w:val="en-US" w:eastAsia="zh-CN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建设“智游涟源”公共服务平台。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依托现有平台基础，整合云计算、大数据、物联网、人工智能、5G技术等，建设集综合管理、公众服务、宣传推广、业务运营为一体的“智游涟源”公共服务平台，服务内容包括：信息查询、语音导览（导航）</w:t>
      </w:r>
      <w:r>
        <w:rPr>
          <w:b w:val="0"/>
          <w:i w:val="0"/>
          <w:spacing w:val="0"/>
          <w:sz w:val="32"/>
          <w:lang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、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在线预订、旅游咨询、文旅投诉等一系列应用，并实现与省级公共服务平台互联互通，为游客提供最全面</w:t>
      </w:r>
      <w:r>
        <w:rPr>
          <w:b w:val="0"/>
          <w:i w:val="0"/>
          <w:spacing w:val="0"/>
          <w:sz w:val="32"/>
          <w:lang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、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最权威的信息，逐步实现数字化、智慧型的特色旅游小镇、景区景点、公共文化场馆、文化和自然遗产地、非物质文化遗产、餐馆饭店、旅行社等文旅主体与“智游涟源”平台数据实时对接，全面推动文旅业态、产品、管理、营销、服务升级。届时，游客可实现一码在手畅游全市，“智游涟源”平台将成为文旅数字经济生态的新引擎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1" w:firstLineChars="200"/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</w:pPr>
      <w:r>
        <w:rPr>
          <w:b w:val="1"/>
          <w:i w:val="0"/>
          <w:spacing w:val="0"/>
          <w:sz w:val="32"/>
          <w:lang w:val="en-US" w:eastAsia="zh-CN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2、构建全域文旅“一卡通”。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为适应当前疫情政策变化，进一步开发本地旅游市场，实现景区抱团发展，</w:t>
      </w: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建议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整合市内收费景区</w:t>
      </w:r>
      <w:r>
        <w:rPr>
          <w:b w:val="0"/>
          <w:i w:val="0"/>
          <w:spacing w:val="0"/>
          <w:sz w:val="32"/>
          <w:lang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，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面向涟源市民及周边游客推出“旅游一卡通”服务</w:t>
      </w:r>
      <w:r>
        <w:rPr>
          <w:b w:val="0"/>
          <w:i w:val="0"/>
          <w:spacing w:val="0"/>
          <w:sz w:val="32"/>
          <w:lang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  <w:t>，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整合全市景区、宾馆、餐饮、娱乐场所构建“一卡通”系统，通过打通区域内景区票务及其他支付场景，有效整合吃住行游购娱资源，实行优惠定价、捆绑定价、阶梯定价、全民分销等营销策略，</w:t>
      </w: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助力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游客“一站式消费”，激发游客出游热情，实现政府、景区、商家、游客的</w:t>
      </w: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“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多赢</w:t>
      </w: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”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局面，推动全域文旅产业健康发展。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afterAutospacing="0" w:beforeAutospacing="0" w:line="240" w:lineRule="auto"/>
        <w:ind w:firstLine="641" w:firstLineChars="200"/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</w:pPr>
      <w:r>
        <w:rPr>
          <w:b w:val="1"/>
          <w:i w:val="0"/>
          <w:spacing w:val="0"/>
          <w:sz w:val="32"/>
          <w:lang w:val="en-US" w:eastAsia="zh-CN"/>
          <w:bCs/>
          <w:iCs w:val="0"/>
          <w:szCs w:val="32"/>
          <w:shd w:val="clear" w:color="auto" w:fill="FFFFFF"/>
          <w:rFonts w:ascii="楷体_GB2312" w:hAnsi="楷体_GB2312" w:eastAsia="楷体_GB2312" w:cs="楷体_GB2312" w:hint="eastAsia"/>
        </w:rPr>
        <w:t>3、打造文旅一体化智慧终端。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借助“文化 ”“旅游 ”“科技 ”三大引擎，按照“全市一盘棋”发展思路，在建设面向公众的一站式涟源智慧化服务体系的基础上，打造便携移动智慧终端，即“智游涟源”APP，</w:t>
      </w:r>
      <w:r>
        <w:rPr>
          <w:b w:val="0"/>
          <w:i w:val="0"/>
          <w:spacing w:val="0"/>
          <w:sz w:val="32"/>
          <w:lang w:val="en-US" w:eastAsia="zh-Hans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搭建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全市文旅服务总入口，让游客实现“一机在手，旅游无忧”，为游客提供游前、游中、游后“一条龙服务”，提供包括精品旅游路线、旅游攻略、AI导览等在内的多种</w:t>
      </w:r>
      <w:r>
        <w:rPr>
          <w:i w:val="0"/>
          <w:spacing w:val="0"/>
          <w:sz w:val="32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旅游智慧服务产品</w:t>
      </w: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，满足其个性化、定制化的文旅服务需求，进一步打造联通省、市、县、文旅企事业单位“多级一体联动”的管理体系。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afterAutospacing="0" w:beforeAutospacing="0" w:line="240" w:lineRule="auto"/>
        <w:ind w:firstLine="640" w:firstLineChars="200"/>
        <w:rPr>
          <w:i w:val="0"/>
          <w:spacing w:val="0"/>
          <w:sz w:val="32"/>
          <w:lang w:val="en-US" w:eastAsia="zh-CN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</w:pPr>
      <w:r>
        <w:rPr>
          <w:b w:val="0"/>
          <w:i w:val="0"/>
          <w:spacing w:val="0"/>
          <w:sz w:val="32"/>
          <w:lang w:val="en-US" w:eastAsia="zh-CN"/>
          <w:bCs w:val="0"/>
          <w:iCs w:val="0"/>
          <w:szCs w:val="32"/>
          <w:shd w:val="clear" w:color="auto" w:fill="FFFFFF"/>
          <w:rFonts w:ascii="仿宋_GB2312" w:hAnsi="仿宋_GB2312" w:eastAsia="仿宋_GB2312" w:cs="仿宋_GB2312" w:hint="eastAsia"/>
        </w:rPr>
        <w:t>依托“智游涟源”公共服务平台、文旅“一卡通”、APP智慧终端“三位一体”的建设，解决旅游行业管理中的监管缺手段、营销缺渠道、服务缺创新等问题，促进行业管理由被动、事后向全程、实时转变，全面提升全市文体旅游行业管理水平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afterAutospacing="0" w:beforeAutospacing="0" w:line="240" w:lineRule="auto"/>
        <w:ind w:firstLine="640" w:firstLineChars="200"/>
        <w:rPr>
          <w:i w:val="0"/>
          <w:spacing w:val="0"/>
          <w:sz w:val="32"/>
          <w:lang w:val="en-US" w:eastAsia="zh-CN"/>
          <w:iCs w:val="0"/>
          <w:szCs w:val="32"/>
          <w:shd w:val="clear" w:color="auto" w:fill="FFFFFF"/>
          <w:rFonts w:ascii="仿宋_GB2312" w:hAnsi="仿宋_GB2312" w:eastAsia="仿宋_GB2312" w:cs="仿宋_GB2312"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6E544241"/>
    <w:multiLevelType w:val="singleLevel"/>
    <w:tmpl w:val="6E544241"/>
    <w:lvl w:ilvl="0" w:tentative="0">
      <w:start w:val="1"/>
      <w:numFmt w:val="decimal"/>
      <w:suff w:val="nothing"/>
      <w:lvlText w:val="%1、"/>
      <w:lvlJc w:val="left"/>
      <w:rPr>
        <w:b w:val="1"/>
        <w:bCs/>
        <w:rFonts w:ascii="楷体_GB2312" w:hAnsi="楷体_GB2312" w:eastAsia="楷体_GB2312" w:cs="楷体_GB2312" w:hint="default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isplayHorizontalDrawingGridEvery w:val="1"/>
  <w:displayVerticalDrawingGridEvery w:val="1"/>
  <w:zoom w:percent="136"/>
  <w:compat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0176349"/>
    <w:rsid w:val="01C164B7"/>
    <w:rsid w:val="03065425"/>
    <w:rsid w:val="03912F41"/>
    <w:rsid w:val="05FB0B46"/>
    <w:rsid w:val="081E4114"/>
    <w:rsid w:val="103A0545"/>
    <w:rsid w:val="10645539"/>
    <w:rsid w:val="11CD11F4"/>
    <w:rsid w:val="160475A2"/>
    <w:rsid w:val="163A2FC4"/>
    <w:rsid w:val="165178EA"/>
    <w:rsid w:val="1AF7054A"/>
    <w:rsid w:val="1B0B4F2F"/>
    <w:rsid w:val="1C9366B7"/>
    <w:rsid w:val="1CC40A4C"/>
    <w:rsid w:val="1DC00253"/>
    <w:rsid w:val="1E742B1C"/>
    <w:rsid w:val="22196184"/>
    <w:rsid w:val="242B03F0"/>
    <w:rsid w:val="2471674B"/>
    <w:rsid w:val="24E567F1"/>
    <w:rsid w:val="25C30157"/>
    <w:rsid w:val="2A1C442B"/>
    <w:rsid w:val="2D014005"/>
    <w:rsid w:val="2EB45BB2"/>
    <w:rsid w:val="2EE71AF6"/>
    <w:rsid w:val="303748AC"/>
    <w:rsid w:val="315F1372"/>
    <w:rsid w:val="31DC70D1"/>
    <w:rsid w:val="342C4C62"/>
    <w:rsid w:val="34FF38FF"/>
    <w:rsid w:val="356E5908"/>
    <w:rsid w:val="36B86B92"/>
    <w:rsid w:val="391E0127"/>
    <w:rsid w:val="39844AA8"/>
    <w:rsid w:val="3C373EEA"/>
    <w:rsid w:val="3E23549C"/>
    <w:rsid w:val="3F201A8B"/>
    <w:rsid w:val="3F724CCD"/>
    <w:rsid w:val="40490124"/>
    <w:rsid w:val="425C2E1B"/>
    <w:rsid w:val="43B14016"/>
    <w:rsid w:val="47532CF6"/>
    <w:rsid w:val="47CF7161"/>
    <w:rsid w:val="481132D5"/>
    <w:rsid w:val="48A73C3A"/>
    <w:rsid w:val="4A78304C"/>
    <w:rsid w:val="53DD43D0"/>
    <w:rsid w:val="545069EA"/>
    <w:rsid w:val="5724471D"/>
    <w:rsid w:val="5A252C10"/>
    <w:rsid w:val="5AAFED74"/>
    <w:rsid w:val="5B0311A3"/>
    <w:rsid w:val="5C62639E"/>
    <w:rsid w:val="5F337B7D"/>
    <w:rsid w:val="5FBF30B3"/>
    <w:rsid w:val="5FBF43C1"/>
    <w:rsid w:val="630A6E47"/>
    <w:rsid w:val="646D58E0"/>
    <w:rsid w:val="66A45B45"/>
    <w:rsid w:val="686F7E78"/>
    <w:rsid w:val="69B91F50"/>
    <w:rsid w:val="6ADE3093"/>
    <w:rsid w:val="6B340F05"/>
    <w:rsid w:val="6B8F438D"/>
    <w:rsid w:val="726D39C9"/>
    <w:rsid w:val="728564EA"/>
    <w:rsid w:val="738A200A"/>
    <w:rsid w:val="794762A8"/>
    <w:rsid w:val="7A49604F"/>
    <w:rsid w:val="7B4038F6"/>
    <w:rsid w:val="7B8C6B3B"/>
    <w:rsid w:val="7E1AAFB8"/>
    <w:rsid w:val="7E963B8F"/>
    <w:rsid w:val="DE9FA4C1"/>
    <w:rsid w:val="EB1F43B4"/>
    <w:rsid w:val="EBEFBCE3"/>
    <w:rsid w:val="F7BB9956"/>
    <w:rsid w:val="F7FF0B58"/>
    <w:rsid w:val="FB8DA3FE"/>
    <w:rsid w:val="FD3F5343"/>
    <w:rsid w:val="FED4CB6B"/>
    <w:rsid w:val="FEF76B94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link w:val="5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theme="minorBidi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rPr>
      <w:sz w:val="24"/>
    </w:rPr>
  </w:style>
  <w:style w:type="character" w:styleId="5" w:customStyle="1">
    <w:name w:val="默认段落字体1"/>
    <w:link w:val="1"/>
    <w:uiPriority w:val="0"/>
    <w:semiHidden/>
    <w:qFormat/>
  </w:style>
  <w:style w:type="table" w:styleId="6" w:customStyle="1">
    <w:name w:val="普通表格1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1</TotalTime>
  <Pages>5</Pages>
  <Words>2272</Words>
  <Characters>2289</Characters>
  <Application>WPS Office_5.2.1.7798_F1E327BC-269C-435d-A152-05C5408002CA</Application>
  <DocSecurity>0</DocSecurity>
  <Lines>0</Lines>
  <Paragraphs>0</Paragraphs>
  <ScaleCrop>false</ScaleCrop>
  <Company/>
  <LinksUpToDate>false</LinksUpToDate>
  <CharactersWithSpaces>2292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叮小叮</dc:creator>
  <cp:keywords/>
  <dc:description/>
  <cp:lastModifiedBy>Owl</cp:lastModifiedBy>
  <cp:revision>0</cp:revision>
  <dcterms:created xsi:type="dcterms:W3CDTF">2022-11-14T21:52:00Z</dcterms:created>
  <dcterms:modified xsi:type="dcterms:W3CDTF">2023-03-21T16:41:28Z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2052-5.2.1.7798</vt:lpwstr>
  </property>
  <property fmtid="{D5CDD505-2E9C-101B-9397-08002B2CF9AE}" pid="3" name="ICV">
    <vt:lpwstr>54FCC749D243EE8762BE176429A53288_43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val="en-US" w:eastAsia="zh-CN"/>
        </w:rPr>
        <w:t>关于发展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</w:rPr>
        <w:t>智慧旅游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</w:rPr>
        <w:t>开启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val="en-US" w:eastAsia="zh-CN"/>
        </w:rPr>
        <w:t>我市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eastAsia="zh-CN"/>
        </w:rPr>
        <w:t>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</w:rPr>
        <w:t>疫情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eastAsia="zh-CN"/>
        </w:rPr>
        <w:t>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eastAsia="zh-CN"/>
        </w:rPr>
        <w:t>文旅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</w:rPr>
        <w:t>创新之路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shd w:val="clear" w:color="auto" w:fill="FFFFFF"/>
          <w:lang w:val="en-US" w:eastAsia="zh-CN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黄涛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颜晓枚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内容摘要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  <w:lang w:eastAsia="zh-Hans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涟源市有着丰富的人文历史、山水风景等旅游资源，湄江“三湘独秀”集山水洞崖于一体、白马湖浩渺烟波、湄峰湖湿地公园鸟语花香、龙山逶迤磅礴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；同时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积极开发利用农业文化遗存、历史古村、山水风景等历史文化资源，全方位打造集吃、住、行、游、娱，山、水、田、园、人文历史、民俗风情、探险寻幽、耕作放养等于一体的历史人文与乡村旅游模式，涌现出了湄江风景区、三甲古村落群、龙山森林公园等人文乡村旅游“新贵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。基于这些良好的基础条件，我们认为可以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大力发展智慧旅游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，推进创新旅游发展。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一、我市旅游资源优势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近年来，涟源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托良好的生态环境、厚重的文化特色、丰富的旅游资源，以建设“区域性休闲旅游康养基地”为目标定位、全域旅游示范区创建为契机，着力夯实基础、创新业态、强化保障、激发潜能，促进旅游产业高质量发展。全市成功创建国家4A级旅游景区1家，3A级旅游景区4家，四星级以上乡村旅游（区）点7家，“国字号”旅游资源品牌6处，省特色旅游名镇3个，省乡村旅游重点村2个。2021年全市接待游客501.16万人次，实现旅游综合收入51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二、发展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</w:rPr>
        <w:t>智慧旅游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的可行性分析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</w:rPr>
        <w:t>旅游+智慧管理，实现高效经营：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旅游+智慧管理将实现传统旅游管理方式向现代管理方式转变。大数据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主要包括：文旅数据可视化系统、旅游数据分析系统、旅游舆情监测系统、景区资质评定系统等四大服务系统，融合区域内旅游各业态商户和企业，可为景区综合管理、目的地旅游产业监管，提供数据支持和决策依据</w:t>
      </w:r>
      <w:r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提升景区管理效率</w:t>
      </w:r>
      <w:r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</w:rPr>
        <w:t>2、旅游+智慧服务，创新消费方式：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旅游+智慧服务主要以游客为本，通过信息技术提升旅游体验和旅游品质。产品体系主要包括智慧导览系统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游客服务系统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云直播系统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虚拟旅游系统等</w:t>
      </w:r>
      <w:r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全面提升旅游行业的管理服务能力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</w:rPr>
        <w:t>3、旅游+智慧营销，促进流量变现：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通过旅游舆情监控和数据分析，挖掘热点和游客兴趣点，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制定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对应的旅游产品</w:t>
      </w:r>
      <w:r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营销主题，推动产品创新和营销创新；利用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微博、抖音等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新媒体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，在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节假日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推出特色活动和优惠折扣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通过朋友圈集赞等方式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吸引游客主动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参与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，并通过积累游客数据和产品消费数据，逐步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扩大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营销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效应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三、建议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建设“智游涟源”公共服务平台。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依托现有平台基础，整合云计算、大数据、物联网、人工智能、5G技术等，建设集综合管理、公众服务、宣传推广、业务运营为一体的“智游涟源”公共服务平台，服务内容包括：信息查询、语音导览（导航）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在线预订、旅游咨询、文旅投诉等一系列应用，并实现与省级公共服务平台互联互通，为游客提供最全面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最权威的信息，逐步实现数字化、智慧型的特色旅游小镇、景区景点、公共文化场馆、文化和自然遗产地、非物质文化遗产、餐馆饭店、旅行社等文旅主体与“智游涟源”平台数据实时对接，全面推动文旅业态、产品、管理、营销、服务升级。届时，游客可实现一码在手畅游全市，“智游涟源”平台将成为文旅数字经济生态的新引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2、构建全域文旅“一卡通”。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为适应当前疫情政策变化，进一步开发本地旅游市场，实现景区抱团发展，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整合市内收费景区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面向涟源市民及周边游客推出“旅游一卡通”服务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整合全市景区、宾馆、餐饮、娱乐场所构建“一卡通”系统，通过打通区域内景区票务及其他支付场景，有效整合吃住行游购娱资源，实行优惠定价、捆绑定价、阶梯定价、全民分销等营销策略，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助力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游客“一站式消费”，激发游客出游热情，实现政府、景区、商家、游客的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多赢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局面，推动全域文旅产业健康发展。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3、打造文旅一体化智慧终端。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借助“文化 ”“旅游 ”“科技 ”三大引擎，按照“全市一盘棋”发展思路，在建设面向公众的一站式涟源智慧化服务体系的基础上，打造便携移动智慧终端，即“智游涟源”APP，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Hans"/>
        </w:rPr>
        <w:t>搭建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全市文旅服务总入口，让游客实现“一机在手，旅游无忧”，为游客提供游前、游中、游后“一条龙服务”，提供包括精品旅游路线、旅游攻略、AI导览等在内的多种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</w:rPr>
        <w:t>旅游智慧服务产品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，满足其个性化、定制化的文旅服务需求，进一步打造联通省、市、县、文旅企事业单位“多级一体联动”的管理体系。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  <w:t>依托“智游涟源”公共服务平台、文旅“一卡通”、APP智慧终端“三位一体”的建设，解决旅游行业管理中的监管缺手段、营销缺渠道、服务缺创新等问题，促进行业管理由被动、事后向全程、实时转变，全面提升全市文体旅游行业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tbak/modified.xml>Tue Mar 18 09:33:22 2025
save:Tue Mar 18 09:33:42 2025

</file>