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</w:pPr>
      <w:r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  <w:t>关于多措并举全面推动我市油茶林产业高质量发展，促进农民致富增收的提案</w:t>
      </w:r>
    </w:p>
    <w:p>
      <w:pPr>
        <w:rPr>
          <w:rFonts w:ascii="仿宋" w:eastAsia="仿宋" w:cs="仿宋" w:hint="eastAsia"/>
          <w:sz w:val="32"/>
          <w:szCs w:val="32"/>
          <w:lang w:val="en-US" w:eastAsia="zh-CN"/>
        </w:rPr>
      </w:pPr>
    </w:p>
    <w:p>
      <w:pPr>
        <w:rPr>
          <w:rFonts w:ascii="仿宋" w:eastAsia="仿宋" w:cs="仿宋"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left="0"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油茶是中国特有的优良乡土树种。它与油橄榄、油棕、椰子一起并列为世界四大木本油料植物。</w:t>
      </w:r>
    </w:p>
    <w:p>
      <w:pPr>
        <w:ind w:left="0" w:firstLineChars="200" w:firstLine="640"/>
        <w:rPr>
          <w:rFonts w:ascii="黑体" w:eastAsia="黑体" w:cs="黑体" w:hint="eastAsia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sz w:val="32"/>
          <w:szCs w:val="32"/>
          <w:lang w:val="en-US" w:eastAsia="zh-CN"/>
        </w:rPr>
        <w:t>一、我市油茶资源现状分析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jc w:val="both"/>
        <w:textAlignment w:val="auto"/>
        <w:rPr>
          <w:rFonts w:ascii="仿宋" w:eastAsia="仿宋" w:cs="仿宋" w:hint="eastAsia"/>
          <w:sz w:val="32"/>
          <w:szCs w:val="32"/>
          <w:lang w:eastAsia="zh-CN"/>
        </w:rPr>
      </w:pPr>
      <w:r>
        <w:rPr>
          <w:rFonts w:ascii="仿宋" w:eastAsia="仿宋" w:cs="仿宋" w:hint="eastAsia"/>
          <w:sz w:val="32"/>
          <w:szCs w:val="32"/>
          <w:lang w:eastAsia="zh-CN"/>
        </w:rPr>
        <w:t>油茶在我市具有悠久的栽培历史、深厚的群众基础和较好的自然资源条件，是</w:t>
      </w:r>
      <w:r>
        <w:rPr>
          <w:rFonts w:ascii="仿宋" w:eastAsia="仿宋" w:cs="仿宋" w:hint="eastAsia"/>
          <w:kern w:val="0"/>
          <w:sz w:val="32"/>
          <w:szCs w:val="32"/>
          <w:lang w:val="en-US" w:eastAsia="zh-CN"/>
        </w:rPr>
        <w:t>湖南省63个</w:t>
      </w:r>
      <w:r>
        <w:rPr>
          <w:rFonts w:ascii="仿宋" w:eastAsia="仿宋" w:cs="仿宋" w:hint="eastAsia"/>
          <w:sz w:val="32"/>
          <w:szCs w:val="32"/>
          <w:lang w:eastAsia="zh-CN"/>
        </w:rPr>
        <w:t>全国</w:t>
      </w:r>
      <w:r>
        <w:rPr>
          <w:rFonts w:ascii="仿宋" w:eastAsia="仿宋" w:cs="仿宋" w:hint="eastAsia"/>
          <w:kern w:val="0"/>
          <w:sz w:val="32"/>
          <w:szCs w:val="32"/>
          <w:lang w:val="en-US" w:eastAsia="zh-CN"/>
        </w:rPr>
        <w:t>油茶重点县之一</w:t>
      </w:r>
      <w:r>
        <w:rPr>
          <w:rFonts w:ascii="仿宋" w:eastAsia="仿宋" w:cs="仿宋" w:hint="eastAsia"/>
          <w:sz w:val="32"/>
          <w:szCs w:val="32"/>
          <w:lang w:eastAsia="zh-CN"/>
        </w:rPr>
        <w:t>。现有油茶林面积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4.58万亩，分布在全市18个乡镇街道，</w:t>
      </w:r>
      <w:r>
        <w:rPr>
          <w:rFonts w:ascii="仿宋" w:eastAsia="仿宋" w:cs="仿宋" w:hint="eastAsia"/>
          <w:sz w:val="32"/>
          <w:szCs w:val="32"/>
          <w:lang w:eastAsia="zh-CN"/>
        </w:rPr>
        <w:t>其中：老油茶林0.22万亩，初产期油茶林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0.63</w:t>
      </w:r>
      <w:r>
        <w:rPr>
          <w:rFonts w:ascii="仿宋" w:eastAsia="仿宋" w:cs="仿宋" w:hint="eastAsia"/>
          <w:sz w:val="32"/>
          <w:szCs w:val="32"/>
          <w:lang w:eastAsia="zh-CN"/>
        </w:rPr>
        <w:t>万亩，盛产期油茶林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0.58</w:t>
      </w:r>
      <w:r>
        <w:rPr>
          <w:rFonts w:ascii="仿宋" w:eastAsia="仿宋" w:cs="仿宋" w:hint="eastAsia"/>
          <w:sz w:val="32"/>
          <w:szCs w:val="32"/>
          <w:lang w:eastAsia="zh-CN"/>
        </w:rPr>
        <w:t>万亩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,</w:t>
      </w:r>
      <w:r>
        <w:rPr>
          <w:rFonts w:ascii="仿宋" w:eastAsia="仿宋" w:cs="仿宋" w:hint="eastAsia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2017-2020</w:t>
      </w:r>
      <w:r>
        <w:rPr>
          <w:rFonts w:ascii="仿宋" w:eastAsia="仿宋" w:cs="仿宋" w:hint="eastAsia"/>
          <w:sz w:val="32"/>
          <w:szCs w:val="32"/>
          <w:lang w:eastAsia="zh-CN"/>
        </w:rPr>
        <w:t>新造高产油茶林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3.15</w:t>
      </w:r>
      <w:r>
        <w:rPr>
          <w:rFonts w:ascii="仿宋" w:eastAsia="仿宋" w:cs="仿宋" w:hint="eastAsia"/>
          <w:sz w:val="32"/>
          <w:szCs w:val="32"/>
          <w:lang w:eastAsia="zh-CN"/>
        </w:rPr>
        <w:t>万亩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,</w:t>
      </w:r>
      <w:r>
        <w:rPr>
          <w:rFonts w:ascii="仿宋" w:eastAsia="仿宋" w:cs="仿宋" w:hint="eastAsia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据统计，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2020</w:t>
      </w:r>
      <w:r>
        <w:rPr>
          <w:rFonts w:ascii="仿宋" w:eastAsia="仿宋" w:cs="仿宋" w:hint="eastAsia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年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全市油茶籽产量达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2800吨，年产茶油560吨，产值7670万元。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textAlignment w:val="auto"/>
        <w:rPr>
          <w:rFonts w:ascii="仿宋" w:eastAsia="仿宋" w:cs="仿宋" w:hint="eastAsia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eastAsia="zh-CN"/>
        </w:rPr>
        <w:t>我市油茶产业主要采取“</w:t>
      </w:r>
      <w:r>
        <w:rPr>
          <w:rFonts w:ascii="仿宋" w:eastAsia="仿宋" w:cs="仿宋" w:hint="eastAsia"/>
          <w:sz w:val="32"/>
          <w:szCs w:val="32"/>
        </w:rPr>
        <w:t>公司</w:t>
      </w:r>
      <w:r>
        <w:rPr>
          <w:rFonts w:ascii="仿宋" w:eastAsia="仿宋" w:cs="仿宋" w:hint="eastAsia"/>
          <w:sz w:val="32"/>
          <w:szCs w:val="32"/>
          <w:lang w:eastAsia="zh-CN"/>
        </w:rPr>
        <w:t>（合作社）</w:t>
      </w:r>
      <w:r>
        <w:rPr>
          <w:rFonts w:ascii="仿宋" w:eastAsia="仿宋" w:cs="仿宋" w:hint="eastAsia"/>
          <w:sz w:val="32"/>
          <w:szCs w:val="32"/>
        </w:rPr>
        <w:t>+基地+</w:t>
      </w:r>
      <w:r>
        <w:rPr>
          <w:rFonts w:ascii="仿宋" w:eastAsia="仿宋" w:cs="仿宋" w:hint="eastAsia"/>
          <w:sz w:val="32"/>
          <w:szCs w:val="32"/>
          <w:lang w:eastAsia="zh-CN"/>
        </w:rPr>
        <w:t>农户”经营模式。</w:t>
      </w:r>
      <w:r>
        <w:rPr>
          <w:rFonts w:ascii="仿宋" w:eastAsia="仿宋" w:cs="仿宋" w:hint="eastAsia"/>
          <w:snapToGrid w:val="0"/>
          <w:kern w:val="0"/>
          <w:sz w:val="32"/>
          <w:szCs w:val="32"/>
          <w:lang w:eastAsia="zh-CN"/>
        </w:rPr>
        <w:t>全市</w:t>
      </w:r>
      <w:r>
        <w:rPr>
          <w:rFonts w:ascii="仿宋" w:eastAsia="仿宋" w:cs="仿宋" w:hint="eastAsia"/>
          <w:snapToGrid w:val="0"/>
          <w:kern w:val="0"/>
          <w:sz w:val="32"/>
          <w:szCs w:val="32"/>
        </w:rPr>
        <w:t>油茶</w:t>
      </w:r>
      <w:r>
        <w:rPr>
          <w:rFonts w:ascii="仿宋" w:eastAsia="仿宋" w:cs="仿宋" w:hint="eastAsia"/>
          <w:snapToGrid w:val="0"/>
          <w:kern w:val="0"/>
          <w:sz w:val="32"/>
          <w:szCs w:val="32"/>
          <w:lang w:eastAsia="zh-CN"/>
        </w:rPr>
        <w:t>种植</w:t>
      </w:r>
      <w:r>
        <w:rPr>
          <w:rFonts w:ascii="仿宋" w:eastAsia="仿宋" w:cs="仿宋" w:hint="eastAsia"/>
          <w:snapToGrid w:val="0"/>
          <w:kern w:val="0"/>
          <w:sz w:val="32"/>
          <w:szCs w:val="32"/>
        </w:rPr>
        <w:t>面积200亩以上的</w:t>
      </w:r>
      <w:r>
        <w:rPr>
          <w:rFonts w:ascii="仿宋" w:eastAsia="仿宋" w:cs="仿宋" w:hint="eastAsia"/>
          <w:snapToGrid w:val="0"/>
          <w:kern w:val="0"/>
          <w:sz w:val="32"/>
          <w:szCs w:val="32"/>
          <w:lang w:val="en-US" w:eastAsia="zh-CN"/>
        </w:rPr>
        <w:t>33户，</w:t>
      </w:r>
      <w:r>
        <w:rPr>
          <w:rFonts w:ascii="仿宋" w:eastAsia="仿宋" w:cs="仿宋" w:hint="eastAsia"/>
          <w:snapToGrid w:val="0"/>
          <w:color w:val="auto"/>
          <w:kern w:val="0"/>
          <w:sz w:val="32"/>
          <w:szCs w:val="32"/>
          <w:lang w:val="en-US" w:eastAsia="zh-CN"/>
        </w:rPr>
        <w:t>村企联建项目44个，面积共1.36万亩，村集体与帮扶主体同股同利、风险共担。建立了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实施主体与建档立卡贫困户利益联结机制，2017年、2018年共有1798户6023人。</w:t>
      </w:r>
    </w:p>
    <w:p>
      <w:pPr>
        <w:ind w:left="0"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2022年下半年连续147天的特大干旱，导致全市2.98万余亩油茶林受灾，其中有1.74万余亩未成林油茶及新造油茶枯死率达60%以上，需灾后重建，另有1.24万余亩需补植补造。</w:t>
      </w:r>
      <w:r>
        <w:rPr>
          <w:rFonts w:ascii="仿宋" w:eastAsia="仿宋" w:cs="仿宋" w:hint="eastAsia"/>
          <w:b w:val="0"/>
          <w:bCs w:val="0"/>
          <w:sz w:val="32"/>
          <w:szCs w:val="32"/>
          <w:lang w:val="en-US" w:eastAsia="zh-CN"/>
        </w:rPr>
        <w:t>直接经济损失超5000余万元。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2022年至2023年盛产期油茶部分枯死，茶油产量大大减少。</w:t>
      </w:r>
    </w:p>
    <w:p>
      <w:pPr>
        <w:ind w:left="0" w:firstLineChars="200" w:firstLine="640"/>
        <w:rPr>
          <w:rFonts w:ascii="黑体" w:eastAsia="黑体" w:cs="黑体" w:hint="eastAsia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sz w:val="32"/>
          <w:szCs w:val="32"/>
          <w:lang w:val="en-US" w:eastAsia="zh-CN"/>
        </w:rPr>
        <w:t>二、当前存在的主要困难和问题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both"/>
        <w:textAlignment w:val="auto"/>
        <w:rPr>
          <w:rFonts w:ascii="仿宋" w:eastAsia="仿宋" w:cs="仿宋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b/>
          <w:bCs/>
          <w:kern w:val="2"/>
          <w:sz w:val="32"/>
          <w:szCs w:val="32"/>
          <w:lang w:val="en-US" w:eastAsia="zh-CN" w:bidi="ar-SA"/>
        </w:rPr>
        <w:t>（一）缺乏产业发展资金。</w:t>
      </w:r>
      <w:r>
        <w:rPr>
          <w:rFonts w:ascii="仿宋" w:eastAsia="仿宋" w:cs="仿宋" w:hint="eastAsia"/>
          <w:sz w:val="32"/>
          <w:szCs w:val="32"/>
        </w:rPr>
        <w:t>油茶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从种植到产生经济效益的周期长达6至8年，从</w:t>
      </w:r>
      <w:r>
        <w:rPr>
          <w:rFonts w:ascii="仿宋" w:eastAsia="仿宋" w:cs="仿宋" w:hint="eastAsia"/>
          <w:b w:val="0"/>
          <w:bCs w:val="0"/>
          <w:kern w:val="2"/>
          <w:sz w:val="32"/>
          <w:szCs w:val="32"/>
          <w:lang w:val="en-US" w:eastAsia="zh-CN" w:bidi="ar-SA"/>
        </w:rPr>
        <w:t>基地建成、幼林抚育管护到挂果丰产，投资大、周期长</w:t>
      </w:r>
      <w:r>
        <w:rPr>
          <w:rFonts w:ascii="仿宋" w:eastAsia="仿宋" w:cs="仿宋" w:hint="eastAsia"/>
          <w:sz w:val="32"/>
          <w:szCs w:val="32"/>
          <w:lang w:eastAsia="zh-CN"/>
        </w:rPr>
        <w:t>。</w:t>
      </w:r>
      <w:r>
        <w:rPr>
          <w:rFonts w:ascii="仿宋" w:eastAsia="仿宋" w:cs="仿宋" w:hint="eastAsia"/>
          <w:sz w:val="32"/>
          <w:szCs w:val="32"/>
        </w:rPr>
        <w:t>建设标准化油茶基</w:t>
      </w:r>
      <w:r>
        <w:rPr>
          <w:rFonts w:ascii="仿宋" w:eastAsia="仿宋" w:cs="仿宋" w:hint="eastAsia"/>
          <w:sz w:val="32"/>
          <w:szCs w:val="32"/>
          <w:lang w:eastAsia="zh-CN"/>
        </w:rPr>
        <w:t>地，</w:t>
      </w:r>
      <w:r>
        <w:rPr>
          <w:rFonts w:ascii="仿宋" w:eastAsia="仿宋" w:cs="仿宋" w:hint="eastAsia"/>
          <w:sz w:val="32"/>
          <w:szCs w:val="32"/>
        </w:rPr>
        <w:t>前6年每亩投入</w:t>
      </w:r>
      <w:r>
        <w:rPr>
          <w:rFonts w:ascii="仿宋" w:eastAsia="仿宋" w:cs="仿宋" w:hint="eastAsia"/>
          <w:sz w:val="32"/>
          <w:szCs w:val="32"/>
          <w:lang w:eastAsia="zh-CN"/>
        </w:rPr>
        <w:t>需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3500至4</w:t>
      </w:r>
      <w:r>
        <w:rPr>
          <w:rFonts w:ascii="仿宋" w:eastAsia="仿宋" w:cs="仿宋" w:hint="eastAsia"/>
          <w:sz w:val="32"/>
          <w:szCs w:val="32"/>
        </w:rPr>
        <w:t>000元。</w:t>
      </w:r>
      <w:r>
        <w:rPr>
          <w:rFonts w:ascii="仿宋" w:eastAsia="仿宋" w:cs="仿宋" w:hint="eastAsia"/>
          <w:sz w:val="32"/>
          <w:szCs w:val="32"/>
          <w:lang w:eastAsia="zh-CN"/>
        </w:rPr>
        <w:t>尽管近几年对油茶产业进行了政策补助，但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后期管护资金缺口较大。特别是2022年特大干旱导致大部分油茶林枯死，部分经营主体缺乏资金进行灾后重建或补植补种而导致产业失败</w:t>
      </w:r>
      <w:r>
        <w:rPr>
          <w:rFonts w:ascii="仿宋" w:eastAsia="仿宋" w:cs="仿宋" w:hint="eastAsia"/>
          <w:b w:val="0"/>
          <w:bCs w:val="0"/>
          <w:sz w:val="32"/>
          <w:szCs w:val="32"/>
          <w:lang w:val="en-US" w:eastAsia="zh-CN"/>
        </w:rPr>
        <w:t>，</w:t>
      </w:r>
      <w:r>
        <w:rPr>
          <w:rFonts w:ascii="仿宋" w:eastAsia="仿宋" w:cs="仿宋" w:hint="eastAsia"/>
          <w:b w:val="0"/>
          <w:bCs w:val="0"/>
          <w:kern w:val="2"/>
          <w:sz w:val="32"/>
          <w:szCs w:val="32"/>
          <w:lang w:val="en-US" w:eastAsia="zh-CN" w:bidi="ar-SA"/>
        </w:rPr>
        <w:t>现在林农种植油茶的积极性普遍不高。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both"/>
        <w:textAlignment w:val="auto"/>
        <w:rPr>
          <w:rFonts w:ascii="仿宋" w:eastAsia="仿宋" w:cs="仿宋" w:hint="eastAsia"/>
          <w:kern w:val="0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b/>
          <w:bCs/>
          <w:sz w:val="32"/>
          <w:szCs w:val="32"/>
          <w:lang w:val="en-US" w:eastAsia="zh-CN"/>
        </w:rPr>
        <w:t>（二）</w:t>
      </w:r>
      <w:r>
        <w:rPr>
          <w:rFonts w:ascii="仿宋" w:eastAsia="仿宋" w:cs="仿宋" w:hint="eastAsia"/>
          <w:b/>
          <w:bCs/>
          <w:kern w:val="2"/>
          <w:sz w:val="32"/>
          <w:szCs w:val="32"/>
          <w:lang w:val="en-US" w:eastAsia="zh-CN" w:bidi="ar-SA"/>
        </w:rPr>
        <w:t>油茶用地十分紧张。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根据国家、省自然资源部门关于禁止“耕地非粮化”等文件</w:t>
      </w:r>
      <w:r>
        <w:rPr>
          <w:rFonts w:ascii="仿宋" w:eastAsia="仿宋" w:cs="仿宋" w:hint="eastAsia"/>
          <w:b w:val="0"/>
          <w:bCs w:val="0"/>
          <w:sz w:val="32"/>
          <w:szCs w:val="32"/>
          <w:lang w:val="en-US" w:eastAsia="zh-CN"/>
        </w:rPr>
        <w:t>规定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，</w:t>
      </w:r>
      <w:r>
        <w:rPr>
          <w:rFonts w:ascii="仿宋" w:eastAsia="仿宋" w:cs="仿宋" w:hint="eastAsia"/>
          <w:b w:val="0"/>
          <w:bCs w:val="0"/>
          <w:sz w:val="32"/>
          <w:szCs w:val="32"/>
          <w:lang w:val="en-US" w:eastAsia="zh-CN"/>
        </w:rPr>
        <w:t>耕地上不允许栽种油茶。我市2020年以前栽种的油茶林有</w:t>
      </w:r>
      <w:r>
        <w:rPr>
          <w:rFonts w:ascii="仿宋" w:eastAsia="仿宋" w:cs="仿宋" w:hint="eastAsia"/>
          <w:b w:val="0"/>
          <w:bCs w:val="0"/>
          <w:color w:val="auto"/>
          <w:sz w:val="32"/>
          <w:szCs w:val="32"/>
          <w:lang w:val="en-US" w:eastAsia="zh-CN"/>
        </w:rPr>
        <w:t>75%在耕</w:t>
      </w:r>
      <w:r>
        <w:rPr>
          <w:rFonts w:ascii="仿宋" w:eastAsia="仿宋" w:cs="仿宋" w:hint="eastAsia"/>
          <w:b w:val="0"/>
          <w:bCs w:val="0"/>
          <w:sz w:val="32"/>
          <w:szCs w:val="32"/>
          <w:lang w:val="en-US" w:eastAsia="zh-CN"/>
        </w:rPr>
        <w:t>地上，现在不能再补植补种，对原有油茶产业巩固、提升和盘活有一定的影响</w:t>
      </w:r>
      <w:r>
        <w:rPr>
          <w:rFonts w:ascii="仿宋" w:eastAsia="仿宋" w:cs="仿宋" w:hint="eastAsia"/>
          <w:kern w:val="0"/>
          <w:sz w:val="32"/>
          <w:szCs w:val="32"/>
          <w:lang w:val="en-US" w:eastAsia="zh-CN"/>
        </w:rPr>
        <w:t>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both"/>
        <w:textAlignment w:val="auto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b/>
          <w:bCs/>
          <w:sz w:val="32"/>
          <w:szCs w:val="32"/>
          <w:lang w:val="en-US" w:eastAsia="zh-CN"/>
        </w:rPr>
        <w:t>（三）基础建设有待加强。</w:t>
      </w:r>
      <w:r>
        <w:rPr>
          <w:rFonts w:ascii="仿宋" w:eastAsia="仿宋" w:cs="仿宋" w:hint="eastAsia"/>
          <w:b w:val="0"/>
          <w:bCs w:val="0"/>
          <w:sz w:val="32"/>
          <w:szCs w:val="32"/>
          <w:lang w:val="en-US" w:eastAsia="zh-CN"/>
        </w:rPr>
        <w:t>部分经营主体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没有按照技术规程对油茶实施水肥一体化建设，对机耕道、排灌、防旱、防火等基础设施建设重视不够，后续抚育</w:t>
      </w:r>
      <w:r>
        <w:rPr>
          <w:rFonts w:ascii="仿宋" w:eastAsia="仿宋" w:cs="仿宋" w:hint="eastAsia"/>
          <w:b w:val="0"/>
          <w:bCs w:val="0"/>
          <w:sz w:val="32"/>
          <w:szCs w:val="32"/>
          <w:lang w:val="en-US" w:eastAsia="zh-CN"/>
        </w:rPr>
        <w:t>管理较为粗放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，给油茶产业后续发展带来制约。</w:t>
      </w:r>
    </w:p>
    <w:p>
      <w:pPr>
        <w:ind w:left="0"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b/>
          <w:bCs/>
          <w:kern w:val="0"/>
          <w:sz w:val="32"/>
          <w:szCs w:val="32"/>
          <w:lang w:val="en-US" w:eastAsia="zh-CN" w:bidi="ar-SA"/>
        </w:rPr>
        <w:t>（四）群众观念落后，发展油茶产业的积极性低。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由于长期受小农经济思想的束缚，大部分群众将种植油茶主要定位于满足自家生活需要，基本依赖“天种天养”，生产上仍沿袭粗放的种植技术和原始落后的管理，对茶林放任不管，不到茶子成熟不进山，甚至一些林农放弃了采摘。没有切实树立起种植油茶发家致富的观念，所以很少投入人力、资金对油茶林进行管理和开发。</w:t>
      </w:r>
    </w:p>
    <w:p>
      <w:pPr>
        <w:ind w:left="0"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b/>
          <w:bCs/>
          <w:kern w:val="0"/>
          <w:sz w:val="32"/>
          <w:szCs w:val="32"/>
          <w:lang w:val="en-US" w:eastAsia="zh-CN" w:bidi="ar-SA"/>
        </w:rPr>
        <w:t>（五）管理粗放，经营效益低。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油茶树长期以来基本上采用实生繁殖方式，导致品种严重退化，树势衰败严重，大小年突出，产量低且不稳，油茶品种皮厚、仁小、出油率低。加上我县茶农对油茶种植生产方式原始粗放，技术含量低，对高冠嫁接、修剪等丰产技术知之甚少，对垦复油茶的积极性不高，全市约有60%的油茶林没有进行垦复，即使垦复了也没有连续性，油茶林"老、稀、残、杂”现象比较严重，导致油茶林整体效益不高。</w:t>
      </w:r>
    </w:p>
    <w:p>
      <w:pPr>
        <w:ind w:left="0"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b/>
          <w:bCs/>
          <w:kern w:val="0"/>
          <w:sz w:val="32"/>
          <w:szCs w:val="32"/>
          <w:lang w:val="en-US" w:eastAsia="zh-CN" w:bidi="ar-SA"/>
        </w:rPr>
        <w:t>（六）产业链条短，附加值低。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我市的油茶加工仍较多采用民间传统的液压式土榨法，加工能力弱，出油率低，只有22%左右，即100公斤油籽可榨成品油约22公斤。生产的油茶品质低，价格低，一般市场价为20元/斤，只有精品茶油价格的1/5左右。茶壳在农村主要当柴烧，除几家深加工企业，其他作坊式的加工厂对于茶皂素提取、菌体蛋白饲料等综合开发利用还是空白。 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both"/>
        <w:textAlignment w:val="auto"/>
        <w:rPr>
          <w:rFonts w:ascii="黑体" w:eastAsia="黑体" w:cs="黑体" w:hint="eastAsia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sz w:val="32"/>
          <w:szCs w:val="32"/>
          <w:lang w:val="en-US" w:eastAsia="zh-CN"/>
        </w:rPr>
        <w:t>三、建议意见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both"/>
        <w:textAlignment w:val="auto"/>
        <w:rPr>
          <w:rFonts w:ascii="仿宋" w:eastAsia="仿宋" w:cs="仿宋" w:hint="eastAsia"/>
          <w:kern w:val="0"/>
          <w:sz w:val="32"/>
          <w:szCs w:val="32"/>
          <w:lang w:val="en-US" w:eastAsia="zh-CN" w:bidi="ar-SA"/>
        </w:rPr>
      </w:pPr>
      <w:r>
        <w:rPr>
          <w:rFonts w:ascii="仿宋" w:eastAsia="仿宋" w:cs="仿宋" w:hint="eastAsia"/>
          <w:b/>
          <w:bCs/>
          <w:kern w:val="2"/>
          <w:sz w:val="32"/>
          <w:szCs w:val="32"/>
          <w:lang w:val="en-US" w:eastAsia="zh-CN" w:bidi="ar-SA"/>
        </w:rPr>
        <w:t xml:space="preserve">（一）落实技能培训，提升发展意识。 </w:t>
      </w:r>
      <w:r>
        <w:rPr>
          <w:rFonts w:ascii="仿宋" w:eastAsia="仿宋" w:cs="仿宋" w:hint="eastAsia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both"/>
        <w:textAlignment w:val="auto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b/>
          <w:bCs/>
          <w:kern w:val="2"/>
          <w:sz w:val="32"/>
          <w:szCs w:val="32"/>
          <w:lang w:val="en-US" w:eastAsia="zh-CN" w:bidi="ar-SA"/>
        </w:rPr>
        <w:t>（二）创新发展模式，扩大油茶用地。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抓住国家大力发展油茶产业的有力契机，改造结合，不断扩大油茶种植面积。</w:t>
      </w:r>
      <w:r>
        <w:rPr>
          <w:rFonts w:ascii="仿宋" w:eastAsia="仿宋" w:cs="仿宋" w:hint="eastAsia"/>
          <w:b/>
          <w:bCs/>
          <w:color w:val="000000"/>
          <w:kern w:val="0"/>
          <w:sz w:val="32"/>
          <w:szCs w:val="32"/>
          <w:lang w:val="en-US" w:eastAsia="zh-CN"/>
        </w:rPr>
        <w:t>一是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en-US" w:eastAsia="zh-CN"/>
        </w:rPr>
        <w:t>在火烧迹地、采伐迹地及低质低产用材林地上进行更新造油茶林，将油茶造林列入乡村振兴资金计划，参照柑橘产业政策予以奖补，同时配套基础设施建设；</w:t>
      </w:r>
      <w:r>
        <w:rPr>
          <w:rFonts w:ascii="仿宋" w:eastAsia="仿宋" w:cs="仿宋" w:hint="eastAsia"/>
          <w:b/>
          <w:bCs/>
          <w:color w:val="000000"/>
          <w:kern w:val="0"/>
          <w:sz w:val="32"/>
          <w:szCs w:val="32"/>
          <w:lang w:val="en-US" w:eastAsia="zh-CN"/>
        </w:rPr>
        <w:t>二是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通过发展“庭院经济”，以奖代补等方式，推动农户和相关经营主体利用一切可用资源，扩大油茶种植面积，保障油茶用地需求。</w:t>
      </w:r>
      <w:r>
        <w:rPr>
          <w:rFonts w:ascii="仿宋" w:eastAsia="仿宋" w:cs="仿宋" w:hint="eastAsia"/>
          <w:b/>
          <w:bCs/>
          <w:sz w:val="32"/>
          <w:szCs w:val="32"/>
          <w:lang w:val="en-US" w:eastAsia="zh-CN"/>
        </w:rPr>
        <w:t>三是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支持利用低效茶园、低效人工商品林地、疏林地、灌木林地等各类适宜的非耕地国土资源改培油茶，扩大油茶种植面积。</w:t>
      </w:r>
      <w:r>
        <w:rPr>
          <w:rFonts w:ascii="仿宋" w:eastAsia="仿宋" w:cs="仿宋" w:hint="eastAsia"/>
          <w:b/>
          <w:bCs/>
          <w:sz w:val="32"/>
          <w:szCs w:val="32"/>
          <w:lang w:val="en-US" w:eastAsia="zh-CN"/>
        </w:rPr>
        <w:t>四是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按照“因地制宜、因树制宜、分类施策”的原则，对低产老化油茶林实行更新改造、抚育改造和品种改造。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both"/>
        <w:textAlignment w:val="auto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b/>
          <w:bCs/>
          <w:kern w:val="2"/>
          <w:sz w:val="32"/>
          <w:szCs w:val="32"/>
          <w:lang w:val="en-US" w:eastAsia="zh-CN" w:bidi="ar-SA"/>
        </w:rPr>
        <w:t>（三）加大扶持力度，促进持续发展。</w:t>
      </w:r>
      <w:r>
        <w:rPr>
          <w:rFonts w:ascii="仿宋" w:eastAsia="仿宋" w:cs="仿宋" w:hint="eastAsia"/>
          <w:b/>
          <w:bCs/>
          <w:sz w:val="32"/>
          <w:szCs w:val="32"/>
          <w:lang w:val="en-US" w:eastAsia="zh-CN"/>
        </w:rPr>
        <w:t>一是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加大财政资金支持力度。将油茶产业发展经费纳入财政预算，加大对油茶新造、抚育、低改、加工等专项补助力度。在行政层面上</w:t>
      </w:r>
      <w:r>
        <w:rPr>
          <w:rFonts w:ascii="仿宋" w:eastAsia="仿宋" w:cs="仿宋" w:hint="eastAsia"/>
          <w:snapToGrid w:val="0"/>
          <w:kern w:val="0"/>
          <w:sz w:val="32"/>
          <w:szCs w:val="32"/>
          <w:lang w:val="en-US" w:eastAsia="zh-CN" w:bidi="ar-SA"/>
        </w:rPr>
        <w:t>，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整合多方资金，对油茶企业在税收优惠、财政补贴、引导配套等给予更多、更有效的产业政策扶持。在金融服务上</w:t>
      </w:r>
      <w:r>
        <w:rPr>
          <w:rFonts w:ascii="仿宋" w:eastAsia="仿宋" w:cs="仿宋" w:hint="eastAsia"/>
          <w:snapToGrid w:val="0"/>
          <w:kern w:val="0"/>
          <w:sz w:val="32"/>
          <w:szCs w:val="32"/>
          <w:lang w:val="en-US" w:eastAsia="zh-CN" w:bidi="ar-SA"/>
        </w:rPr>
        <w:t>，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政府协调优势油茶企业与金融部门之间的关系</w:t>
      </w:r>
      <w:r>
        <w:rPr>
          <w:rFonts w:ascii="仿宋" w:eastAsia="仿宋" w:cs="仿宋" w:hint="eastAsia"/>
          <w:snapToGrid w:val="0"/>
          <w:kern w:val="0"/>
          <w:sz w:val="32"/>
          <w:szCs w:val="32"/>
          <w:lang w:val="en-US" w:eastAsia="zh-CN" w:bidi="ar-SA"/>
        </w:rPr>
        <w:t>，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帮助油茶企业争取信用贷款或抵押贷款</w:t>
      </w:r>
      <w:r>
        <w:rPr>
          <w:rFonts w:ascii="仿宋" w:eastAsia="仿宋" w:cs="仿宋" w:hint="eastAsia"/>
          <w:snapToGrid w:val="0"/>
          <w:kern w:val="0"/>
          <w:sz w:val="32"/>
          <w:szCs w:val="32"/>
          <w:lang w:val="en-US" w:eastAsia="zh-CN" w:bidi="ar-SA"/>
        </w:rPr>
        <w:t>，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给予贴息补助，打消金融资本进入油茶产业的顾虑，解决企业投入资金不足的问题。</w:t>
      </w:r>
      <w:r>
        <w:rPr>
          <w:rFonts w:ascii="仿宋" w:eastAsia="仿宋" w:cs="仿宋" w:hint="eastAsia"/>
          <w:b/>
          <w:bCs/>
          <w:sz w:val="32"/>
          <w:szCs w:val="32"/>
          <w:lang w:val="en-US" w:eastAsia="zh-CN"/>
        </w:rPr>
        <w:t>二是</w:t>
      </w:r>
      <w:r>
        <w:rPr>
          <w:rFonts w:ascii="仿宋" w:eastAsia="仿宋" w:cs="仿宋" w:hint="eastAsia"/>
          <w:b w:val="0"/>
          <w:bCs w:val="0"/>
          <w:sz w:val="32"/>
          <w:szCs w:val="32"/>
          <w:lang w:val="en-US" w:eastAsia="zh-CN"/>
        </w:rPr>
        <w:t>积极争取国家项目资金扶持。将油茶造林纳入生物防火林带建设、长江防护林、石漠化综合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治理、农业综合开发等项目中</w:t>
      </w:r>
      <w:r>
        <w:rPr>
          <w:rFonts w:ascii="仿宋" w:eastAsia="仿宋" w:cs="仿宋" w:hint="eastAsia"/>
          <w:snapToGrid w:val="0"/>
          <w:kern w:val="0"/>
          <w:sz w:val="32"/>
          <w:szCs w:val="32"/>
          <w:lang w:val="en-US" w:eastAsia="zh-CN" w:bidi="ar-SA"/>
        </w:rPr>
        <w:t>，</w:t>
      </w:r>
      <w:r>
        <w:rPr>
          <w:rFonts w:ascii="仿宋" w:eastAsia="仿宋" w:cs="仿宋" w:hint="eastAsia"/>
          <w:b w:val="0"/>
          <w:bCs w:val="0"/>
          <w:sz w:val="32"/>
          <w:szCs w:val="32"/>
          <w:lang w:val="en-US" w:eastAsia="zh-CN"/>
        </w:rPr>
        <w:t>向国家、省、娄底市林业部门申请，争取上级给予项目和资金支持。</w:t>
      </w:r>
      <w:r>
        <w:rPr>
          <w:rFonts w:ascii="仿宋" w:eastAsia="仿宋" w:cs="仿宋" w:hint="eastAsia"/>
          <w:b/>
          <w:bCs/>
          <w:sz w:val="32"/>
          <w:szCs w:val="32"/>
          <w:lang w:val="en-US" w:eastAsia="zh-CN"/>
        </w:rPr>
        <w:t>三是</w:t>
      </w:r>
      <w:r>
        <w:rPr>
          <w:rFonts w:ascii="仿宋" w:eastAsia="仿宋" w:cs="仿宋" w:hint="eastAsia"/>
          <w:b w:val="0"/>
          <w:bCs w:val="0"/>
          <w:sz w:val="32"/>
          <w:szCs w:val="32"/>
          <w:lang w:val="en-US" w:eastAsia="zh-CN"/>
        </w:rPr>
        <w:t>注重</w:t>
      </w:r>
      <w:r>
        <w:rPr>
          <w:rFonts w:ascii="仿宋" w:eastAsia="仿宋" w:cs="仿宋" w:hint="eastAsia"/>
          <w:b w:val="0"/>
          <w:bCs w:val="0"/>
          <w:sz w:val="32"/>
          <w:szCs w:val="32"/>
          <w:lang w:eastAsia="zh-CN"/>
        </w:rPr>
        <w:t>示范引领带动。</w:t>
      </w:r>
      <w:r>
        <w:rPr>
          <w:rFonts w:ascii="仿宋" w:eastAsia="仿宋" w:cs="仿宋" w:hint="eastAsia"/>
          <w:b w:val="0"/>
          <w:bCs w:val="0"/>
          <w:sz w:val="32"/>
          <w:szCs w:val="32"/>
          <w:lang w:val="en-US" w:eastAsia="zh-CN"/>
        </w:rPr>
        <w:t>目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前涟源市油茶产业缺乏龙头企业的带动</w:t>
      </w:r>
      <w:r>
        <w:rPr>
          <w:rFonts w:ascii="仿宋" w:eastAsia="仿宋" w:cs="仿宋" w:hint="eastAsia"/>
          <w:snapToGrid w:val="0"/>
          <w:kern w:val="0"/>
          <w:sz w:val="32"/>
          <w:szCs w:val="32"/>
          <w:lang w:val="en-US" w:eastAsia="zh-CN" w:bidi="ar-SA"/>
        </w:rPr>
        <w:t>，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引导和培育龙头企业是油茶产业发展亟待解决的问题。加快油茶示范基地标准化建设，在巩固原有油茶栽培示范基地的基础上，继续营造一批油茶高产示范林，落实水肥一体化等基础设施建设，通过现实的成效示范带动全市油茶产业的发展。</w:t>
      </w:r>
    </w:p>
    <w:p>
      <w:pPr>
        <w:rPr>
          <w:rFonts w:ascii="仿宋" w:eastAsia="仿宋" w:cs="仿宋" w:hint="eastAsia"/>
          <w:sz w:val="32"/>
          <w:szCs w:val="32"/>
          <w:lang w:val="en-US" w:eastAsia="zh-CN"/>
        </w:rPr>
      </w:pPr>
    </w:p>
    <w:p>
      <w:pPr>
        <w:rPr>
          <w:rFonts w:ascii="仿宋" w:eastAsia="仿宋" w:cs="仿宋" w:hint="eastAsia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43" w:usb2="00000009" w:usb3="00000000" w:csb0="400001FF" w:csb1="FFFF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  <w:docVars>
    <w:docVar w:name="commondata" w:val="eyJoZGlkIjoiODMzOTA0MzdhZjIxYWYwY2M5Y2RhNjgwY2ZiMWMzYz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autoRedefine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autoRedefine/>
  </w:style>
  <w:style w:type="paragraph" w:styleId="15">
    <w:name w:val="Normal (Web)"/>
    <w:basedOn w:val="0"/>
    <w:autoRedefine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4212</TotalTime>
  <Application>Yozo_Office</Application>
  <Pages>5</Pages>
  <Words>2094</Words>
  <Characters>2199</Characters>
  <Lines>88</Lines>
  <Paragraphs>17</Paragraphs>
  <CharactersWithSpaces>2202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vivo用户</cp:lastModifiedBy>
  <cp:revision>0</cp:revision>
  <cp:lastPrinted>2024-01-22T00:56:00Z</cp:lastPrinted>
  <dcterms:created xsi:type="dcterms:W3CDTF">2024-01-07T00:54:00Z</dcterms:created>
  <dcterms:modified xsi:type="dcterms:W3CDTF">2024-03-21T01:47:39Z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2052-12.1.0.16399</vt:lpwstr>
  </property>
  <property fmtid="{D5CDD505-2E9C-101B-9397-08002B2CF9AE}" pid="3" name="ICV">
    <vt:lpwstr>504E9F3760C84E5B963106B6C581AE5B_13</vt:lpwstr>
  </property>
</Properties>
</file>